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84" w:rsidRDefault="00E94184" w:rsidP="00E941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E94184" w:rsidRPr="00E94184" w:rsidRDefault="00E94184" w:rsidP="00E941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0"/>
          <w:szCs w:val="20"/>
        </w:rPr>
      </w:pPr>
      <w:r w:rsidRPr="00E94184">
        <w:rPr>
          <w:rFonts w:ascii="Courier New" w:hAnsi="Courier New" w:cs="Courier New"/>
          <w:b/>
          <w:bCs/>
          <w:sz w:val="20"/>
          <w:szCs w:val="20"/>
        </w:rPr>
        <w:t xml:space="preserve">INFORME DE LA COMISIÓN FISCALIZADORA </w:t>
      </w:r>
    </w:p>
    <w:p w:rsidR="00E94184" w:rsidRPr="00E94184" w:rsidRDefault="00E94184" w:rsidP="00E941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E94184">
        <w:rPr>
          <w:rFonts w:ascii="Courier New" w:hAnsi="Courier New" w:cs="Courier New"/>
          <w:sz w:val="20"/>
          <w:szCs w:val="20"/>
        </w:rPr>
        <w:t>A los Accionistas y Directores de</w:t>
      </w:r>
    </w:p>
    <w:p w:rsidR="00E94184" w:rsidRPr="00E94184" w:rsidRDefault="00E94184" w:rsidP="00E941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E94184">
        <w:rPr>
          <w:rFonts w:ascii="Courier New" w:hAnsi="Courier New" w:cs="Courier New"/>
          <w:b/>
          <w:bCs/>
          <w:sz w:val="20"/>
          <w:szCs w:val="20"/>
        </w:rPr>
        <w:t>Pilay S. A.</w:t>
      </w:r>
    </w:p>
    <w:p w:rsidR="00E94184" w:rsidRPr="00E94184" w:rsidRDefault="00E94184" w:rsidP="00E941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E94184">
        <w:rPr>
          <w:rFonts w:ascii="Courier New" w:hAnsi="Courier New" w:cs="Courier New"/>
          <w:b/>
          <w:bCs/>
          <w:sz w:val="20"/>
          <w:szCs w:val="20"/>
          <w:u w:val="single"/>
        </w:rPr>
        <w:t>Presente.-</w:t>
      </w:r>
    </w:p>
    <w:p w:rsidR="00E94184" w:rsidRPr="00E94184" w:rsidRDefault="00E94184" w:rsidP="00E94184">
      <w:pPr>
        <w:pStyle w:val="textoinfaud"/>
        <w:tabs>
          <w:tab w:val="clear" w:pos="720"/>
        </w:tabs>
        <w:spacing w:line="360" w:lineRule="auto"/>
        <w:ind w:firstLine="708"/>
        <w:rPr>
          <w:rFonts w:ascii="Courier New" w:hAnsi="Courier New" w:cs="Courier New"/>
          <w:lang w:val="es-AR"/>
        </w:rPr>
      </w:pPr>
      <w:r w:rsidRPr="00E94184">
        <w:rPr>
          <w:rFonts w:ascii="Courier New" w:hAnsi="Courier New" w:cs="Courier New"/>
        </w:rPr>
        <w:t xml:space="preserve">Nuestro trabajo </w:t>
      </w:r>
      <w:r w:rsidRPr="00E94184">
        <w:rPr>
          <w:rFonts w:ascii="Courier New" w:hAnsi="Courier New" w:cs="Courier New"/>
          <w:lang w:val="es-AR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E94184">
        <w:rPr>
          <w:rFonts w:ascii="Courier New" w:hAnsi="Courier New" w:cs="Courier New"/>
          <w:lang w:val="es-AR"/>
        </w:rPr>
        <w:t>Resoluci</w:t>
      </w:r>
      <w:proofErr w:type="spellEnd"/>
      <w:r w:rsidRPr="00E94184">
        <w:rPr>
          <w:rFonts w:ascii="Courier New" w:hAnsi="Courier New" w:cs="Courier New"/>
        </w:rPr>
        <w:t>o</w:t>
      </w:r>
      <w:r w:rsidRPr="00E94184">
        <w:rPr>
          <w:rFonts w:ascii="Courier New" w:hAnsi="Courier New" w:cs="Courier New"/>
          <w:lang w:val="es-AR"/>
        </w:rPr>
        <w:t>n</w:t>
      </w:r>
      <w:r w:rsidRPr="00E94184">
        <w:rPr>
          <w:rFonts w:ascii="Courier New" w:hAnsi="Courier New" w:cs="Courier New"/>
        </w:rPr>
        <w:t>es</w:t>
      </w:r>
      <w:r w:rsidRPr="00E94184">
        <w:rPr>
          <w:rFonts w:ascii="Courier New" w:hAnsi="Courier New" w:cs="Courier New"/>
          <w:lang w:val="es-AR"/>
        </w:rPr>
        <w:t xml:space="preserve"> Técnicas de la Federación Argentina de Consejos Profesionales de Ciencias Económicas. </w:t>
      </w:r>
    </w:p>
    <w:p w:rsidR="00E94184" w:rsidRPr="00E94184" w:rsidRDefault="00E94184" w:rsidP="00E94184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0"/>
          <w:szCs w:val="20"/>
          <w:lang w:eastAsia="en-US"/>
        </w:rPr>
      </w:pPr>
      <w:r w:rsidRPr="00E94184">
        <w:rPr>
          <w:rFonts w:ascii="Courier New" w:eastAsia="Book Antiqua" w:hAnsi="Courier New" w:cs="Courier New"/>
          <w:sz w:val="20"/>
          <w:szCs w:val="20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al periodo cerrado el 31 de enero de 2017:</w:t>
      </w:r>
    </w:p>
    <w:p w:rsidR="00E94184" w:rsidRPr="00E94184" w:rsidRDefault="00E94184" w:rsidP="00E9418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0"/>
          <w:szCs w:val="20"/>
          <w:lang w:eastAsia="en-US"/>
        </w:rPr>
      </w:pPr>
      <w:r w:rsidRPr="00E94184">
        <w:rPr>
          <w:rFonts w:ascii="Courier New" w:eastAsia="Book Antiqua" w:hAnsi="Courier New" w:cs="Courier New"/>
          <w:sz w:val="20"/>
          <w:szCs w:val="20"/>
          <w:lang w:eastAsia="en-US"/>
        </w:rPr>
        <w:t>Extractos Bancarios.</w:t>
      </w:r>
    </w:p>
    <w:p w:rsidR="00E94184" w:rsidRPr="00E94184" w:rsidRDefault="00E94184" w:rsidP="00E9418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0"/>
          <w:szCs w:val="20"/>
          <w:lang w:eastAsia="en-US"/>
        </w:rPr>
      </w:pPr>
      <w:r w:rsidRPr="00E94184">
        <w:rPr>
          <w:rFonts w:ascii="Courier New" w:eastAsia="Book Antiqua" w:hAnsi="Courier New" w:cs="Courier New"/>
          <w:sz w:val="20"/>
          <w:szCs w:val="20"/>
          <w:lang w:eastAsia="en-US"/>
        </w:rPr>
        <w:t>Libros contables e impositivos.</w:t>
      </w:r>
    </w:p>
    <w:p w:rsidR="00E94184" w:rsidRPr="00E94184" w:rsidRDefault="00E94184" w:rsidP="00E9418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0"/>
          <w:szCs w:val="20"/>
          <w:lang w:eastAsia="en-US"/>
        </w:rPr>
      </w:pPr>
      <w:r w:rsidRPr="00E94184">
        <w:rPr>
          <w:rFonts w:ascii="Courier New" w:eastAsia="Book Antiqua" w:hAnsi="Courier New" w:cs="Courier New"/>
          <w:sz w:val="20"/>
          <w:szCs w:val="20"/>
          <w:lang w:eastAsia="en-US"/>
        </w:rPr>
        <w:t>Declaraciones Juradas impositivas e informativas.</w:t>
      </w:r>
    </w:p>
    <w:p w:rsidR="00E94184" w:rsidRPr="00E94184" w:rsidRDefault="00E94184" w:rsidP="00E9418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0"/>
          <w:szCs w:val="20"/>
          <w:lang w:eastAsia="en-US"/>
        </w:rPr>
      </w:pPr>
      <w:r w:rsidRPr="00E94184">
        <w:rPr>
          <w:rFonts w:ascii="Courier New" w:eastAsia="Book Antiqua" w:hAnsi="Courier New" w:cs="Courier New"/>
          <w:sz w:val="20"/>
          <w:szCs w:val="20"/>
          <w:lang w:eastAsia="en-US"/>
        </w:rPr>
        <w:t>Balance de saldos contables al 31-01-2017.</w:t>
      </w:r>
    </w:p>
    <w:p w:rsidR="00E94184" w:rsidRPr="00E94184" w:rsidRDefault="00E94184" w:rsidP="00E9418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0"/>
          <w:szCs w:val="20"/>
          <w:lang w:eastAsia="en-US"/>
        </w:rPr>
      </w:pPr>
      <w:r w:rsidRPr="00E94184">
        <w:rPr>
          <w:rFonts w:ascii="Courier New" w:eastAsia="Book Antiqua" w:hAnsi="Courier New" w:cs="Courier New"/>
          <w:sz w:val="20"/>
          <w:szCs w:val="20"/>
          <w:lang w:eastAsia="en-US"/>
        </w:rPr>
        <w:t>Libros de actas de las reuniones de Directorio de la empresa PILAY SA</w:t>
      </w:r>
    </w:p>
    <w:p w:rsidR="00E94184" w:rsidRPr="00E94184" w:rsidRDefault="00E94184" w:rsidP="00E9418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0"/>
          <w:szCs w:val="20"/>
          <w:lang w:eastAsia="en-US"/>
        </w:rPr>
      </w:pPr>
      <w:r w:rsidRPr="00E94184">
        <w:rPr>
          <w:rFonts w:ascii="Courier New" w:eastAsia="Book Antiqua" w:hAnsi="Courier New" w:cs="Courier New"/>
          <w:sz w:val="20"/>
          <w:szCs w:val="20"/>
          <w:lang w:eastAsia="en-US"/>
        </w:rPr>
        <w:t>Documentación relacionada con el cumplimiento de las obligaciones del Fideicomiso.</w:t>
      </w:r>
    </w:p>
    <w:p w:rsidR="00E94184" w:rsidRPr="00E94184" w:rsidRDefault="00E94184" w:rsidP="00E94184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0"/>
          <w:szCs w:val="20"/>
          <w:lang w:eastAsia="en-US"/>
        </w:rPr>
      </w:pPr>
      <w:r w:rsidRPr="00E94184">
        <w:rPr>
          <w:rFonts w:ascii="Courier New" w:eastAsia="Book Antiqua" w:hAnsi="Courier New" w:cs="Courier New"/>
          <w:sz w:val="20"/>
          <w:szCs w:val="20"/>
          <w:lang w:eastAsia="en-US"/>
        </w:rPr>
        <w:t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empresarios de administración ni de comercialización, dado que ellos son competencia exclusiva del Directorio y la Asamblea.</w:t>
      </w:r>
    </w:p>
    <w:p w:rsidR="00E94184" w:rsidRPr="00E94184" w:rsidRDefault="00E94184" w:rsidP="00E94184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0"/>
          <w:szCs w:val="20"/>
          <w:lang w:eastAsia="en-US"/>
        </w:rPr>
      </w:pPr>
      <w:r w:rsidRPr="00E94184">
        <w:rPr>
          <w:rFonts w:ascii="Courier New" w:eastAsia="Book Antiqua" w:hAnsi="Courier New" w:cs="Courier New"/>
          <w:sz w:val="20"/>
          <w:szCs w:val="20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E94184" w:rsidRPr="00E94184" w:rsidRDefault="00E94184" w:rsidP="00E94184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0"/>
          <w:szCs w:val="20"/>
          <w:lang w:eastAsia="en-US"/>
        </w:rPr>
      </w:pPr>
      <w:r w:rsidRPr="00E94184">
        <w:rPr>
          <w:rFonts w:ascii="Courier New" w:eastAsia="Book Antiqua" w:hAnsi="Courier New" w:cs="Courier New"/>
          <w:i/>
          <w:sz w:val="20"/>
          <w:szCs w:val="20"/>
          <w:lang w:eastAsia="en-US"/>
        </w:rPr>
        <w:t>Santa Fe, 08 de marzo de 2017.-</w:t>
      </w:r>
    </w:p>
    <w:p w:rsidR="00E94184" w:rsidRPr="00E94184" w:rsidRDefault="00E94184" w:rsidP="00E94184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0"/>
          <w:szCs w:val="20"/>
          <w:lang w:eastAsia="en-US"/>
        </w:rPr>
      </w:pPr>
      <w:bookmarkStart w:id="0" w:name="_GoBack"/>
      <w:bookmarkEnd w:id="0"/>
    </w:p>
    <w:tbl>
      <w:tblPr>
        <w:tblW w:w="533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9"/>
        <w:gridCol w:w="4014"/>
        <w:gridCol w:w="3327"/>
      </w:tblGrid>
      <w:tr w:rsidR="00E94184" w:rsidRPr="00E94184" w:rsidTr="00F16E9B">
        <w:trPr>
          <w:trHeight w:val="567"/>
        </w:trPr>
        <w:tc>
          <w:tcPr>
            <w:tcW w:w="1743" w:type="pct"/>
            <w:shd w:val="clear" w:color="auto" w:fill="auto"/>
          </w:tcPr>
          <w:p w:rsidR="00E94184" w:rsidRPr="00E94184" w:rsidRDefault="00E94184" w:rsidP="00437C2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4184">
              <w:rPr>
                <w:rFonts w:ascii="Courier New" w:hAnsi="Courier New" w:cs="Courier New"/>
                <w:sz w:val="20"/>
                <w:szCs w:val="20"/>
              </w:rPr>
              <w:t>CPN JORGE LUIS  MANZANERO</w:t>
            </w:r>
          </w:p>
          <w:p w:rsidR="00E94184" w:rsidRPr="00E94184" w:rsidRDefault="00E94184" w:rsidP="00437C2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4184">
              <w:rPr>
                <w:rFonts w:ascii="Courier New" w:hAnsi="Courier New" w:cs="Courier New"/>
                <w:sz w:val="20"/>
                <w:szCs w:val="20"/>
              </w:rPr>
              <w:t>Mat. 4933</w:t>
            </w:r>
          </w:p>
          <w:p w:rsidR="00E94184" w:rsidRPr="00E94184" w:rsidRDefault="00E94184" w:rsidP="00437C2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4184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E94184" w:rsidRPr="00E94184" w:rsidRDefault="00E94184" w:rsidP="00437C2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4184">
              <w:rPr>
                <w:rFonts w:ascii="Courier New" w:hAnsi="Courier New" w:cs="Courier New"/>
                <w:sz w:val="20"/>
                <w:szCs w:val="20"/>
              </w:rPr>
              <w:t>CPN LEANDRO NICOLAS WENETZ</w:t>
            </w:r>
          </w:p>
          <w:p w:rsidR="00E94184" w:rsidRPr="00E94184" w:rsidRDefault="00E94184" w:rsidP="00437C2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4184">
              <w:rPr>
                <w:rFonts w:ascii="Courier New" w:hAnsi="Courier New" w:cs="Courier New"/>
                <w:sz w:val="20"/>
                <w:szCs w:val="20"/>
              </w:rPr>
              <w:t>Mat. 01-19473</w:t>
            </w:r>
          </w:p>
          <w:p w:rsidR="00E94184" w:rsidRPr="00E94184" w:rsidRDefault="00E94184" w:rsidP="00437C2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4184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E94184" w:rsidRPr="00E94184" w:rsidRDefault="00E94184" w:rsidP="00437C2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4184">
              <w:rPr>
                <w:rFonts w:ascii="Courier New" w:hAnsi="Courier New" w:cs="Courier New"/>
                <w:sz w:val="20"/>
                <w:szCs w:val="20"/>
              </w:rPr>
              <w:t>CPN MAXIMILIANO SIMEZ</w:t>
            </w:r>
          </w:p>
          <w:p w:rsidR="00E94184" w:rsidRPr="00E94184" w:rsidRDefault="00E94184" w:rsidP="00437C2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4184">
              <w:rPr>
                <w:rFonts w:ascii="Courier New" w:hAnsi="Courier New" w:cs="Courier New"/>
                <w:sz w:val="20"/>
                <w:szCs w:val="20"/>
              </w:rPr>
              <w:t>Mat. 13521</w:t>
            </w:r>
          </w:p>
          <w:p w:rsidR="00E94184" w:rsidRPr="00E94184" w:rsidRDefault="00E94184" w:rsidP="00437C2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4184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</w:tr>
    </w:tbl>
    <w:p w:rsidR="00E1516F" w:rsidRPr="00E94184" w:rsidRDefault="00E1516F" w:rsidP="00E94184">
      <w:pPr>
        <w:rPr>
          <w:sz w:val="20"/>
          <w:szCs w:val="20"/>
        </w:rPr>
      </w:pPr>
    </w:p>
    <w:sectPr w:rsidR="00E1516F" w:rsidRPr="00E94184" w:rsidSect="00827B7F">
      <w:pgSz w:w="12240" w:h="15840"/>
      <w:pgMar w:top="284" w:right="61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7F"/>
    <w:rsid w:val="00827B7F"/>
    <w:rsid w:val="00E1516F"/>
    <w:rsid w:val="00E94184"/>
    <w:rsid w:val="00F1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B7F"/>
    <w:rPr>
      <w:rFonts w:ascii="Calibri" w:eastAsia="Calibri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827B7F"/>
    <w:pPr>
      <w:tabs>
        <w:tab w:val="left" w:pos="720"/>
      </w:tabs>
      <w:spacing w:after="0" w:line="360" w:lineRule="atLeast"/>
      <w:jc w:val="both"/>
    </w:pPr>
    <w:rPr>
      <w:rFonts w:ascii="Book Antiqua" w:eastAsia="Times New Roman" w:hAnsi="Book Antiqua"/>
      <w:sz w:val="20"/>
      <w:szCs w:val="20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B7F"/>
    <w:rPr>
      <w:rFonts w:ascii="Calibri" w:eastAsia="Calibri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827B7F"/>
    <w:pPr>
      <w:tabs>
        <w:tab w:val="left" w:pos="720"/>
      </w:tabs>
      <w:spacing w:after="0" w:line="360" w:lineRule="atLeast"/>
      <w:jc w:val="both"/>
    </w:pPr>
    <w:rPr>
      <w:rFonts w:ascii="Book Antiqua" w:eastAsia="Times New Roman" w:hAnsi="Book Antiqua"/>
      <w:sz w:val="20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</dc:creator>
  <cp:lastModifiedBy>MAXI</cp:lastModifiedBy>
  <cp:revision>3</cp:revision>
  <dcterms:created xsi:type="dcterms:W3CDTF">2017-03-08T11:56:00Z</dcterms:created>
  <dcterms:modified xsi:type="dcterms:W3CDTF">2017-03-08T11:57:00Z</dcterms:modified>
</cp:coreProperties>
</file>