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21" w:rsidRPr="004E1D63" w:rsidRDefault="00112921" w:rsidP="00112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E1D63">
        <w:rPr>
          <w:rFonts w:ascii="Arial" w:hAnsi="Arial" w:cs="Arial"/>
          <w:b/>
          <w:bCs/>
          <w:sz w:val="24"/>
          <w:szCs w:val="24"/>
        </w:rPr>
        <w:t>INFORME DE LA COMISIÓN FISCALIZADORA</w:t>
      </w:r>
    </w:p>
    <w:p w:rsidR="00112921" w:rsidRPr="004E1D63" w:rsidRDefault="00112921" w:rsidP="00112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D63">
        <w:rPr>
          <w:rFonts w:ascii="Arial" w:hAnsi="Arial" w:cs="Arial"/>
          <w:sz w:val="24"/>
          <w:szCs w:val="24"/>
        </w:rPr>
        <w:t>A los Accionistas y Directores de</w:t>
      </w:r>
    </w:p>
    <w:p w:rsidR="00112921" w:rsidRPr="004E1D63" w:rsidRDefault="00112921" w:rsidP="00112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E1D63">
        <w:rPr>
          <w:rFonts w:ascii="Arial" w:hAnsi="Arial" w:cs="Arial"/>
          <w:b/>
          <w:bCs/>
          <w:sz w:val="24"/>
          <w:szCs w:val="24"/>
        </w:rPr>
        <w:t>Pilay</w:t>
      </w:r>
      <w:proofErr w:type="spellEnd"/>
      <w:r w:rsidRPr="004E1D63">
        <w:rPr>
          <w:rFonts w:ascii="Arial" w:hAnsi="Arial" w:cs="Arial"/>
          <w:b/>
          <w:bCs/>
          <w:sz w:val="24"/>
          <w:szCs w:val="24"/>
        </w:rPr>
        <w:t xml:space="preserve"> S. A.</w:t>
      </w:r>
    </w:p>
    <w:p w:rsidR="00112921" w:rsidRPr="004E1D63" w:rsidRDefault="00112921" w:rsidP="001129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E1D63">
        <w:rPr>
          <w:rFonts w:ascii="Arial" w:hAnsi="Arial" w:cs="Arial"/>
          <w:b/>
          <w:bCs/>
          <w:sz w:val="24"/>
          <w:szCs w:val="24"/>
          <w:u w:val="single"/>
        </w:rPr>
        <w:t>Presente.-</w:t>
      </w:r>
    </w:p>
    <w:p w:rsidR="00112921" w:rsidRPr="004E1D63" w:rsidRDefault="00112921" w:rsidP="00112921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  <w:lang w:val="es-AR"/>
        </w:rPr>
      </w:pPr>
      <w:r w:rsidRPr="004E1D63">
        <w:rPr>
          <w:rFonts w:ascii="Arial" w:hAnsi="Arial" w:cs="Arial"/>
          <w:sz w:val="24"/>
          <w:szCs w:val="24"/>
        </w:rPr>
        <w:t xml:space="preserve">Nuestro trabajo </w:t>
      </w:r>
      <w:r w:rsidRPr="004E1D63">
        <w:rPr>
          <w:rFonts w:ascii="Arial" w:hAnsi="Arial" w:cs="Arial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4E1D63">
        <w:rPr>
          <w:rFonts w:ascii="Arial" w:hAnsi="Arial" w:cs="Arial"/>
          <w:sz w:val="24"/>
          <w:szCs w:val="24"/>
          <w:lang w:val="es-AR"/>
        </w:rPr>
        <w:t>Resoluci</w:t>
      </w:r>
      <w:proofErr w:type="spellEnd"/>
      <w:r w:rsidRPr="004E1D63">
        <w:rPr>
          <w:rFonts w:ascii="Arial" w:hAnsi="Arial" w:cs="Arial"/>
          <w:sz w:val="24"/>
          <w:szCs w:val="24"/>
        </w:rPr>
        <w:t>o</w:t>
      </w:r>
      <w:r w:rsidRPr="004E1D63">
        <w:rPr>
          <w:rFonts w:ascii="Arial" w:hAnsi="Arial" w:cs="Arial"/>
          <w:sz w:val="24"/>
          <w:szCs w:val="24"/>
          <w:lang w:val="es-AR"/>
        </w:rPr>
        <w:t>n</w:t>
      </w:r>
      <w:r w:rsidRPr="004E1D63">
        <w:rPr>
          <w:rFonts w:ascii="Arial" w:hAnsi="Arial" w:cs="Arial"/>
          <w:sz w:val="24"/>
          <w:szCs w:val="24"/>
        </w:rPr>
        <w:t>es</w:t>
      </w:r>
      <w:r w:rsidRPr="004E1D63">
        <w:rPr>
          <w:rFonts w:ascii="Arial" w:hAnsi="Arial" w:cs="Arial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112921" w:rsidRPr="004E1D63" w:rsidRDefault="00112921" w:rsidP="00112921">
      <w:pPr>
        <w:spacing w:line="360" w:lineRule="auto"/>
        <w:ind w:firstLine="708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31 de agosto de 2016: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Extractos Bancarios.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Libros contables e impositivos.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Declaraciones Juradas impositivas e informativas.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Balance de saldos contables al 31-08-2016.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Libros de actas de las reuniones de Directorio de la empresa PILAY SA</w:t>
      </w:r>
    </w:p>
    <w:p w:rsidR="00112921" w:rsidRPr="004E1D63" w:rsidRDefault="00112921" w:rsidP="00112921">
      <w:pPr>
        <w:numPr>
          <w:ilvl w:val="0"/>
          <w:numId w:val="1"/>
        </w:numPr>
        <w:spacing w:line="360" w:lineRule="auto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Documentación relacionada con el cumplimiento de las obligaciones del Fideicomiso.</w:t>
      </w:r>
    </w:p>
    <w:p w:rsidR="00112921" w:rsidRPr="004E1D63" w:rsidRDefault="00112921" w:rsidP="00112921">
      <w:pPr>
        <w:spacing w:line="360" w:lineRule="auto"/>
        <w:ind w:firstLine="709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112921" w:rsidRPr="004E1D63" w:rsidRDefault="00112921" w:rsidP="00112921">
      <w:pPr>
        <w:spacing w:line="360" w:lineRule="auto"/>
        <w:ind w:firstLine="709"/>
        <w:jc w:val="both"/>
        <w:rPr>
          <w:rFonts w:ascii="Arial" w:eastAsia="Book Antiqua" w:hAnsi="Arial" w:cs="Arial"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sz w:val="24"/>
          <w:szCs w:val="24"/>
          <w:lang w:eastAsia="en-US"/>
        </w:rPr>
        <w:lastRenderedPageBreak/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12921" w:rsidRPr="004E1D63" w:rsidRDefault="00112921" w:rsidP="00112921">
      <w:pPr>
        <w:spacing w:line="360" w:lineRule="auto"/>
        <w:ind w:firstLine="709"/>
        <w:jc w:val="right"/>
        <w:rPr>
          <w:rFonts w:ascii="Arial" w:eastAsia="Book Antiqua" w:hAnsi="Arial" w:cs="Arial"/>
          <w:i/>
          <w:sz w:val="24"/>
          <w:szCs w:val="24"/>
          <w:lang w:eastAsia="en-US"/>
        </w:rPr>
      </w:pPr>
      <w:r w:rsidRPr="004E1D63">
        <w:rPr>
          <w:rFonts w:ascii="Arial" w:eastAsia="Book Antiqua" w:hAnsi="Arial" w:cs="Arial"/>
          <w:i/>
          <w:sz w:val="24"/>
          <w:szCs w:val="24"/>
          <w:lang w:eastAsia="en-US"/>
        </w:rPr>
        <w:t>Santa Fe, 29 de Septiembre de 2016.-</w:t>
      </w:r>
    </w:p>
    <w:p w:rsidR="00112921" w:rsidRDefault="00112921" w:rsidP="00112921">
      <w:pPr>
        <w:spacing w:line="360" w:lineRule="auto"/>
        <w:ind w:firstLine="709"/>
        <w:jc w:val="right"/>
        <w:rPr>
          <w:rFonts w:ascii="Arial" w:eastAsia="Book Antiqua" w:hAnsi="Arial" w:cs="Arial"/>
          <w:i/>
          <w:sz w:val="24"/>
          <w:szCs w:val="24"/>
          <w:lang w:eastAsia="en-US"/>
        </w:rPr>
      </w:pPr>
    </w:p>
    <w:p w:rsidR="00112921" w:rsidRPr="004E1D63" w:rsidRDefault="00112921" w:rsidP="00112921">
      <w:pPr>
        <w:spacing w:line="360" w:lineRule="auto"/>
        <w:ind w:firstLine="709"/>
        <w:jc w:val="right"/>
        <w:rPr>
          <w:rFonts w:ascii="Arial" w:eastAsia="Book Antiqua" w:hAnsi="Arial" w:cs="Arial"/>
          <w:i/>
          <w:sz w:val="24"/>
          <w:szCs w:val="24"/>
          <w:lang w:eastAsia="en-US"/>
        </w:rPr>
      </w:pPr>
    </w:p>
    <w:p w:rsidR="00112921" w:rsidRPr="004E1D63" w:rsidRDefault="00112921" w:rsidP="00112921">
      <w:pPr>
        <w:spacing w:line="360" w:lineRule="auto"/>
        <w:ind w:firstLine="709"/>
        <w:jc w:val="right"/>
        <w:rPr>
          <w:rFonts w:ascii="Arial" w:eastAsia="Book Antiqua" w:hAnsi="Arial" w:cs="Arial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120"/>
        <w:gridCol w:w="3172"/>
      </w:tblGrid>
      <w:tr w:rsidR="00112921" w:rsidRPr="004E1D63" w:rsidTr="001060B4">
        <w:trPr>
          <w:trHeight w:val="567"/>
        </w:trPr>
        <w:tc>
          <w:tcPr>
            <w:tcW w:w="1743" w:type="pct"/>
            <w:shd w:val="clear" w:color="auto" w:fill="auto"/>
          </w:tcPr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CPN JORGE LUIS  MANZANERO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Mat. 4933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15" w:type="pct"/>
            <w:shd w:val="clear" w:color="auto" w:fill="auto"/>
          </w:tcPr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1D63">
              <w:rPr>
                <w:rFonts w:ascii="Arial" w:hAnsi="Arial" w:cs="Arial"/>
                <w:sz w:val="20"/>
                <w:szCs w:val="20"/>
                <w:lang w:val="en-US"/>
              </w:rPr>
              <w:t>CPN DANIEL HECTOR BREX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1D63">
              <w:rPr>
                <w:rFonts w:ascii="Arial" w:hAnsi="Arial" w:cs="Arial"/>
                <w:sz w:val="20"/>
                <w:szCs w:val="20"/>
                <w:lang w:val="en-US"/>
              </w:rPr>
              <w:t>Mat. 10208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  <w:tc>
          <w:tcPr>
            <w:tcW w:w="1642" w:type="pct"/>
            <w:shd w:val="clear" w:color="auto" w:fill="auto"/>
          </w:tcPr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CPN MAXIMILIANO SIMEZ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Mat. 13521</w:t>
            </w:r>
          </w:p>
          <w:p w:rsidR="00112921" w:rsidRPr="004E1D63" w:rsidRDefault="00112921" w:rsidP="001060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D63">
              <w:rPr>
                <w:rFonts w:ascii="Arial" w:hAnsi="Arial" w:cs="Arial"/>
                <w:sz w:val="20"/>
                <w:szCs w:val="20"/>
              </w:rPr>
              <w:t>SINDICO TITULAR</w:t>
            </w:r>
          </w:p>
        </w:tc>
      </w:tr>
    </w:tbl>
    <w:p w:rsidR="008239FF" w:rsidRPr="00112921" w:rsidRDefault="008239FF" w:rsidP="00112921">
      <w:bookmarkStart w:id="0" w:name="_GoBack"/>
      <w:bookmarkEnd w:id="0"/>
    </w:p>
    <w:sectPr w:rsidR="008239FF" w:rsidRPr="00112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E4"/>
    <w:rsid w:val="000E4958"/>
    <w:rsid w:val="00112921"/>
    <w:rsid w:val="003872E4"/>
    <w:rsid w:val="006A6764"/>
    <w:rsid w:val="008239FF"/>
    <w:rsid w:val="00B510E2"/>
    <w:rsid w:val="00B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2</cp:revision>
  <dcterms:created xsi:type="dcterms:W3CDTF">2016-09-29T15:48:00Z</dcterms:created>
  <dcterms:modified xsi:type="dcterms:W3CDTF">2016-09-29T15:48:00Z</dcterms:modified>
</cp:coreProperties>
</file>